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3"/>
        <w:tblW w:w="9139" w:type="dxa"/>
        <w:jc w:val="center"/>
        <w:tblInd w:w="0" w:type="dxa"/>
        <w:tblLayout w:type="fixed"/>
        <w:tblLook w:firstRow="1" w:lastRow="0" w:firstColumn="1" w:lastColumn="0" w:noHBand="0" w:noVBand="1" w:val="04A0"/>
      </w:tblPr>
      <w:tblGrid>
        <w:gridCol w:w="2930"/>
        <w:gridCol w:w="3104"/>
        <w:gridCol w:w="3105"/>
      </w:tblGrid>
      <w:tr>
        <w:trPr>
          <w:trHeight w:val="284" w:hRule="atLeast"/>
        </w:trPr>
        <w:tc>
          <w:tcPr>
            <w:tcW w:w="9139" w:type="dxa"/>
            <w:gridSpan w:val="3"/>
            <w:vAlign w:val="top"/>
          </w:tcPr>
          <w:p>
            <w:pPr>
              <w:pStyle w:val="0"/>
              <w:jc w:val="center"/>
              <w:rPr>
                <w:rFonts w:hint="default" w:asciiTheme="minorEastAsia" w:hAnsiTheme="minorEastAsia"/>
                <w:color w:val="000000"/>
                <w:kern w:val="0"/>
              </w:rPr>
            </w:pPr>
            <w:r>
              <w:rPr>
                <w:rFonts w:hint="eastAsia" w:asciiTheme="minorEastAsia" w:hAnsiTheme="minorEastAsia"/>
              </w:rPr>
              <w:t>認定権者記載欄</w:t>
            </w:r>
          </w:p>
        </w:tc>
      </w:tr>
      <w:tr>
        <w:trPr>
          <w:trHeight w:val="284" w:hRule="atLeast"/>
        </w:trPr>
        <w:tc>
          <w:tcPr>
            <w:tcW w:w="29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5" w:type="dxa"/>
            <w:vAlign w:val="top"/>
          </w:tcPr>
          <w:p>
            <w:pPr>
              <w:pStyle w:val="0"/>
              <w:rPr>
                <w:rFonts w:hint="default" w:asciiTheme="minorEastAsia" w:hAnsiTheme="minorEastAsia"/>
                <w:color w:val="000000"/>
                <w:kern w:val="0"/>
              </w:rPr>
            </w:pPr>
          </w:p>
        </w:tc>
      </w:tr>
      <w:tr>
        <w:trPr>
          <w:trHeight w:val="284" w:hRule="atLeast"/>
        </w:trPr>
        <w:tc>
          <w:tcPr>
            <w:tcW w:w="293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4" w:type="dxa"/>
            <w:vAlign w:val="top"/>
          </w:tcPr>
          <w:p>
            <w:pPr>
              <w:pStyle w:val="0"/>
              <w:rPr>
                <w:rFonts w:hint="default" w:asciiTheme="minorEastAsia" w:hAnsiTheme="minorEastAsia"/>
                <w:color w:val="000000"/>
                <w:kern w:val="0"/>
              </w:rPr>
            </w:pPr>
          </w:p>
        </w:tc>
        <w:tc>
          <w:tcPr>
            <w:tcW w:w="3105" w:type="dxa"/>
            <w:vAlign w:val="top"/>
          </w:tcPr>
          <w:p>
            <w:pPr>
              <w:pStyle w:val="0"/>
              <w:rPr>
                <w:rFonts w:hint="default" w:asciiTheme="minorEastAsia" w:hAnsiTheme="minorEastAsia"/>
                <w:color w:val="000000"/>
                <w:kern w:val="0"/>
              </w:rPr>
            </w:pPr>
          </w:p>
        </w:tc>
      </w:tr>
    </w:tbl>
    <w:p>
      <w:pPr>
        <w:pStyle w:val="0"/>
        <w:spacing w:line="140" w:lineRule="exact"/>
        <w:ind w:right="839"/>
        <w:rPr>
          <w:rFonts w:hint="default"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様式第５－（イ）－⑨　　　　　　　　　　　　　　　　　　　　　　　　　　　　　　　</w:t>
      </w:r>
      <w:r>
        <w:rPr>
          <w:rFonts w:hint="eastAsia" w:asciiTheme="minorEastAsia" w:hAnsiTheme="minorEastAsia"/>
          <w:b w:val="1"/>
          <w:color w:val="000000"/>
          <w:kern w:val="0"/>
        </w:rPr>
        <w:t>※２部提出</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中小企業信用保険法第２条第５項第５号の規定による認定申請書（イ－⑨）</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私は、表に記載する業を営んでいるが、令和２年新型コロナウイルス感染症の発生の影響に起因して、下記のとおり、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ind w:left="210" w:leftChars="100" w:right="187"/>
        <w:jc w:val="left"/>
        <w:textAlignment w:val="baseline"/>
        <w:rPr>
          <w:rFonts w:hint="default" w:asciiTheme="minorEastAsia" w:hAnsiTheme="minorEastAsia"/>
          <w:color w:val="000000"/>
          <w:kern w:val="0"/>
        </w:rPr>
      </w:pPr>
      <w:r>
        <w:rPr>
          <w:rFonts w:hint="eastAsia" w:asciiTheme="minorEastAsia" w:hAnsiTheme="minorEastAsia"/>
          <w:color w:val="000000"/>
          <w:kern w:val="0"/>
        </w:rPr>
        <w:t>（表）</w:t>
      </w:r>
    </w:p>
    <w:tbl>
      <w:tblPr>
        <w:tblStyle w:val="33"/>
        <w:tblpPr w:leftFromText="142" w:rightFromText="142" w:topFromText="0" w:bottomFromText="0" w:vertAnchor="text" w:horzAnchor="margin" w:tblpXSpec="center" w:tblpY="88"/>
        <w:tblW w:w="4744" w:type="pct"/>
        <w:tblLayout w:type="fixed"/>
        <w:tblLook w:firstRow="1" w:lastRow="0" w:firstColumn="1" w:lastColumn="0" w:noHBand="0" w:noVBand="1" w:val="04A0"/>
      </w:tblPr>
      <w:tblGrid>
        <w:gridCol w:w="3116"/>
        <w:gridCol w:w="3116"/>
        <w:gridCol w:w="3117"/>
      </w:tblGrid>
      <w:tr>
        <w:trPr>
          <w:trHeight w:val="340" w:hRule="atLeast"/>
        </w:trPr>
        <w:tc>
          <w:tcPr>
            <w:tcW w:w="1666"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jc w:val="left"/>
              <w:textAlignment w:val="baseline"/>
              <w:rPr>
                <w:rFonts w:hint="default" w:asciiTheme="minorEastAsia" w:hAnsiTheme="minorEastAsia"/>
                <w:color w:val="000000"/>
                <w:kern w:val="0"/>
              </w:rPr>
            </w:pPr>
          </w:p>
        </w:tc>
        <w:tc>
          <w:tcPr>
            <w:tcW w:w="1666"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r>
      <w:tr>
        <w:trPr>
          <w:trHeight w:val="340" w:hRule="atLeast"/>
        </w:trPr>
        <w:tc>
          <w:tcPr>
            <w:tcW w:w="1666" w:type="pc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c>
          <w:tcPr>
            <w:tcW w:w="1666" w:type="pct"/>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r>
    </w:tbl>
    <w:p>
      <w:pPr>
        <w:pStyle w:val="0"/>
        <w:suppressAutoHyphens w:val="1"/>
        <w:kinsoku w:val="0"/>
        <w:overflowPunct w:val="0"/>
        <w:autoSpaceDE w:val="0"/>
        <w:autoSpaceDN w:val="0"/>
        <w:adjustRightInd w:val="0"/>
        <w:spacing w:line="180" w:lineRule="exact"/>
        <w:ind w:left="210" w:leftChars="100" w:right="187"/>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140" w:lineRule="exact"/>
        <w:ind w:right="839"/>
        <w:rPr>
          <w:rFonts w:hint="default" w:asciiTheme="minorEastAsia" w:hAnsiTheme="minorEastAsia"/>
          <w:color w:val="000000"/>
          <w:kern w:val="0"/>
        </w:rPr>
      </w:pP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rPr>
          <w:rFonts w:hint="default" w:asciiTheme="minorEastAsia" w:hAnsiTheme="minorEastAsia"/>
        </w:rPr>
      </w:pPr>
      <w:r>
        <w:rPr>
          <w:rFonts w:hint="eastAsia" w:asciiTheme="minorEastAsia" w:hAnsiTheme="minorEastAsia"/>
        </w:rPr>
        <w:t>　　　　（イ）最近１か月間の売上高等　　　　　　　　　　　　　　</w:t>
      </w:r>
      <w:r>
        <w:rPr>
          <w:rFonts w:hint="eastAsia" w:asciiTheme="minorEastAsia" w:hAnsiTheme="minorEastAsia"/>
          <w:u w:val="single" w:color="auto"/>
        </w:rPr>
        <w:t>減少率　　　　　％</w:t>
      </w:r>
      <w:r>
        <w:rPr>
          <w:rFonts w:hint="eastAsia" w:asciiTheme="minorEastAsia" w:hAnsiTheme="minorEastAsia"/>
          <w:sz w:val="18"/>
          <w:u w:val="single" w:color="auto"/>
        </w:rPr>
        <w:t>（実績）</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Ｃ－Ａ</w:t>
      </w: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Ｃ　　　×</w:t>
      </w:r>
      <w:r>
        <w:rPr>
          <w:rFonts w:hint="eastAsia" w:asciiTheme="minorEastAsia" w:hAnsiTheme="minorEastAsia"/>
        </w:rPr>
        <w:t>100</w:t>
      </w:r>
    </w:p>
    <w:p>
      <w:pPr>
        <w:pStyle w:val="0"/>
        <w:rPr>
          <w:rFonts w:hint="default" w:asciiTheme="minorEastAsia" w:hAnsiTheme="minorEastAsia"/>
        </w:rPr>
      </w:pPr>
      <w:r>
        <w:rPr>
          <w:rFonts w:hint="eastAsia" w:asciiTheme="minorEastAsia" w:hAnsiTheme="minorEastAsia"/>
        </w:rPr>
        <w:t>　　　　　　Ａ：</w:t>
      </w:r>
      <w:r>
        <w:rPr>
          <w:rFonts w:hint="eastAsia" w:asciiTheme="minorEastAsia" w:hAnsiTheme="minorEastAsia"/>
          <w:color w:val="000000"/>
          <w:kern w:val="0"/>
        </w:rPr>
        <w:t>申込み時点における最近１か月間の売上高等　　　　</w:t>
      </w:r>
      <w:r>
        <w:rPr>
          <w:rFonts w:hint="eastAsia" w:asciiTheme="minorEastAsia" w:hAnsiTheme="minorEastAsia"/>
        </w:rPr>
        <w:t>　　</w:t>
      </w:r>
      <w:r>
        <w:rPr>
          <w:rFonts w:hint="eastAsia" w:asciiTheme="minorEastAsia" w:hAnsiTheme="minorEastAsia"/>
          <w:u w:val="single" w:color="auto"/>
        </w:rPr>
        <w:t>　　　　　　　　　円</w:t>
      </w:r>
    </w:p>
    <w:p>
      <w:pPr>
        <w:pStyle w:val="0"/>
        <w:rPr>
          <w:rFonts w:hint="default" w:asciiTheme="minorEastAsia" w:hAnsiTheme="minorEastAsia"/>
          <w:u w:val="single" w:color="auto"/>
        </w:rPr>
      </w:pPr>
      <w:r>
        <w:rPr>
          <w:rFonts w:hint="eastAsia" w:asciiTheme="minorEastAsia" w:hAnsiTheme="minorEastAsia"/>
        </w:rPr>
        <w:t>　　　　　　Ｂ：</w:t>
      </w:r>
      <w:r>
        <w:rPr>
          <w:rFonts w:hint="eastAsia" w:asciiTheme="minorEastAsia" w:hAnsiTheme="minorEastAsia"/>
          <w:color w:val="000000"/>
          <w:kern w:val="0"/>
        </w:rPr>
        <w:t>令和元年１０月から１２月の売上高等</w:t>
      </w:r>
      <w:r>
        <w:rPr>
          <w:rFonts w:hint="eastAsia" w:asciiTheme="minorEastAsia" w:hAnsiTheme="minorEastAsia"/>
        </w:rPr>
        <w:t>　　　　　　　　　</w:t>
      </w:r>
      <w:r>
        <w:rPr>
          <w:rFonts w:hint="eastAsia" w:asciiTheme="minorEastAsia" w:hAnsiTheme="minorEastAsia"/>
          <w:u w:val="single" w:color="auto"/>
        </w:rPr>
        <w:t>　　　　　　　　　円</w:t>
      </w:r>
    </w:p>
    <w:p>
      <w:pPr>
        <w:pStyle w:val="0"/>
        <w:rPr>
          <w:rFonts w:hint="default" w:asciiTheme="minorEastAsia" w:hAnsiTheme="minorEastAsia"/>
          <w:color w:val="000000"/>
          <w:kern w:val="0"/>
        </w:rPr>
      </w:pPr>
      <w:r>
        <w:rPr>
          <w:rFonts w:hint="eastAsia" w:asciiTheme="minorEastAsia" w:hAnsiTheme="minorEastAsia"/>
        </w:rPr>
        <w:t>　　　　　　Ｃ：</w:t>
      </w:r>
      <w:r>
        <w:rPr>
          <w:rFonts w:hint="eastAsia" w:asciiTheme="minorEastAsia" w:hAnsiTheme="minorEastAsia"/>
          <w:color w:val="000000"/>
          <w:kern w:val="0"/>
        </w:rPr>
        <w:t>令和元年１０月から１２月の平均売上高等　</w:t>
      </w:r>
      <w:r>
        <w:rPr>
          <w:rFonts w:hint="eastAsia" w:asciiTheme="minorEastAsia" w:hAnsiTheme="minorEastAsia"/>
          <w:u w:val="single" w:color="auto"/>
        </w:rPr>
        <w:t>Ｂ</w:t>
      </w:r>
    </w:p>
    <w:p>
      <w:pPr>
        <w:pStyle w:val="0"/>
        <w:rPr>
          <w:rFonts w:hint="default" w:asciiTheme="minorEastAsia" w:hAnsiTheme="minorEastAsia"/>
          <w:u w:val="single" w:color="auto"/>
        </w:rPr>
      </w:pPr>
      <w:r>
        <w:rPr>
          <w:rFonts w:hint="eastAsia" w:asciiTheme="minorEastAsia" w:hAnsiTheme="minorEastAsia"/>
        </w:rPr>
        <w:t>　　　　　　　　　　　　　　　　　　　　　　　　　　　　３　　　　　</w:t>
      </w:r>
      <w:r>
        <w:rPr>
          <w:rFonts w:hint="eastAsia" w:asciiTheme="minorEastAsia" w:hAnsiTheme="minorEastAsia"/>
          <w:u w:val="single" w:color="auto"/>
        </w:rPr>
        <w:t>　　　　　　　　　円</w:t>
      </w:r>
    </w:p>
    <w:p>
      <w:pPr>
        <w:pStyle w:val="0"/>
        <w:spacing w:line="140" w:lineRule="exact"/>
        <w:ind w:right="839"/>
        <w:rPr>
          <w:rFonts w:hint="default" w:asciiTheme="minorEastAsia" w:hAnsiTheme="minorEastAsia"/>
          <w:color w:val="000000"/>
          <w:kern w:val="0"/>
        </w:rPr>
      </w:pPr>
    </w:p>
    <w:p>
      <w:pPr>
        <w:pStyle w:val="0"/>
        <w:rPr>
          <w:rFonts w:hint="default" w:asciiTheme="minorEastAsia" w:hAnsiTheme="minorEastAsia"/>
        </w:rPr>
      </w:pPr>
      <w:r>
        <w:rPr>
          <w:rFonts w:hint="eastAsia" w:asciiTheme="minorEastAsia" w:hAnsiTheme="minorEastAsia"/>
        </w:rPr>
        <w:t>　　　　（ロ）</w:t>
      </w:r>
      <w:r>
        <w:rPr>
          <w:rFonts w:hint="eastAsia" w:asciiTheme="minorEastAsia" w:hAnsiTheme="minorEastAsia"/>
          <w:color w:val="000000"/>
          <w:kern w:val="0"/>
        </w:rPr>
        <w:t>最近３か月間の売上高等の実績見込み　　　　　</w:t>
      </w:r>
      <w:r>
        <w:rPr>
          <w:rFonts w:hint="eastAsia" w:asciiTheme="minorEastAsia" w:hAnsiTheme="minorEastAsia"/>
        </w:rPr>
        <w:t>　</w:t>
      </w:r>
      <w:r>
        <w:rPr>
          <w:rFonts w:hint="eastAsia" w:asciiTheme="minorEastAsia" w:hAnsiTheme="minorEastAsia"/>
          <w:u w:val="single" w:color="auto"/>
        </w:rPr>
        <w:t>減少率　　　　％</w:t>
      </w:r>
      <w:r>
        <w:rPr>
          <w:rFonts w:hint="eastAsia" w:asciiTheme="minorEastAsia" w:hAnsiTheme="minorEastAsia"/>
          <w:sz w:val="18"/>
          <w:u w:val="single" w:color="auto"/>
        </w:rPr>
        <w:t>（実績見込み）</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Ｂ－（Ａ＋Ｄ）</w:t>
      </w: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rPr>
          <w:rFonts w:hint="default" w:asciiTheme="minorEastAsia" w:hAnsiTheme="minorEastAsia"/>
        </w:rPr>
      </w:pPr>
      <w:r>
        <w:rPr>
          <w:rFonts w:hint="eastAsia" w:asciiTheme="minorEastAsia" w:hAnsiTheme="minorEastAsia"/>
        </w:rPr>
        <w:t>　　　　　　Ｄ：</w:t>
      </w:r>
      <w:r>
        <w:rPr>
          <w:rFonts w:hint="eastAsia" w:asciiTheme="minorEastAsia" w:hAnsiTheme="minorEastAsia"/>
          <w:color w:val="000000"/>
          <w:kern w:val="0"/>
        </w:rPr>
        <w:t>Ａの期間後２か月間の見込み売上高等　</w:t>
      </w:r>
      <w:r>
        <w:rPr>
          <w:rFonts w:hint="eastAsia" w:asciiTheme="minorEastAsia" w:hAnsiTheme="minorEastAsia"/>
        </w:rPr>
        <w:t>　　　　　　　　</w:t>
      </w:r>
      <w:r>
        <w:rPr>
          <w:rFonts w:hint="eastAsia" w:asciiTheme="minorEastAsia" w:hAnsiTheme="minorEastAsia"/>
          <w:u w:val="single" w:color="auto"/>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spacing w:line="200" w:lineRule="exac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pacing w:line="240" w:lineRule="exact"/>
        <w:rPr>
          <w:rFonts w:hint="default" w:asciiTheme="minorEastAsia" w:hAnsiTheme="minorEastAsia"/>
        </w:rPr>
      </w:pPr>
    </w:p>
    <w:p>
      <w:pPr>
        <w:pStyle w:val="0"/>
        <w:suppressAutoHyphens w:val="1"/>
        <w:spacing w:line="180" w:lineRule="exact"/>
        <w:ind w:left="525" w:hanging="525"/>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spacing w:line="180" w:lineRule="exact"/>
        <w:ind w:left="862" w:hanging="862"/>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（注２）</w:t>
      </w:r>
      <w:r>
        <w:rPr>
          <w:rFonts w:hint="eastAsia" w:asciiTheme="minorEastAsia" w:hAnsiTheme="minorEastAsia"/>
          <w:color w:val="000000"/>
          <w:kern w:val="0"/>
          <w:sz w:val="18"/>
          <w:u w:val="single" w:color="auto"/>
        </w:rPr>
        <w:t>　　　　</w:t>
      </w:r>
      <w:r>
        <w:rPr>
          <w:rFonts w:hint="eastAsia" w:asciiTheme="minorEastAsia" w:hAnsiTheme="minorEastAsia"/>
          <w:color w:val="000000"/>
          <w:kern w:val="0"/>
          <w:sz w:val="18"/>
        </w:rPr>
        <w:t>には、「販売数量の減少」又は「売上高の減少」等を入れる。</w:t>
      </w:r>
    </w:p>
    <w:p>
      <w:pPr>
        <w:pStyle w:val="0"/>
        <w:suppressAutoHyphens w:val="1"/>
        <w:spacing w:line="180" w:lineRule="exact"/>
        <w:ind w:left="862" w:hanging="862"/>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（注３）企業全体の売上高等を記載。</w:t>
      </w:r>
    </w:p>
    <w:p>
      <w:pPr>
        <w:pStyle w:val="0"/>
        <w:suppressAutoHyphens w:val="1"/>
        <w:spacing w:line="180" w:lineRule="exact"/>
        <w:ind w:left="1230" w:hanging="123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（留意事項）　①　本認定とは別に、金融機関及び信用保証協会による金融上の審査があります。</w:t>
      </w:r>
    </w:p>
    <w:p>
      <w:pPr>
        <w:pStyle w:val="0"/>
        <w:suppressAutoHyphens w:val="1"/>
        <w:spacing w:line="180" w:lineRule="exact"/>
        <w:ind w:left="1440" w:right="-21" w:rightChars="-10" w:hanging="1440" w:hangingChars="800"/>
        <w:jc w:val="left"/>
        <w:textAlignment w:val="baseline"/>
        <w:rPr>
          <w:rFonts w:hint="default" w:asciiTheme="minorEastAsia" w:hAnsiTheme="minorEastAsia"/>
          <w:color w:val="000000"/>
          <w:kern w:val="0"/>
          <w:sz w:val="18"/>
        </w:rPr>
        <w:sectPr>
          <w:type w:val="nextColumn"/>
          <w:pgSz w:w="11906" w:h="16838"/>
          <w:pgMar w:top="1134" w:right="851" w:bottom="1021" w:left="1418" w:header="851" w:footer="992" w:gutter="0"/>
          <w:cols w:space="720"/>
          <w:textDirection w:val="lrTb"/>
          <w:docGrid w:type="lines" w:linePitch="291"/>
        </w:sectPr>
      </w:pPr>
      <w:r>
        <w:rPr>
          <w:rFonts w:hint="eastAsia" w:asciiTheme="minorEastAsia" w:hAnsiTheme="min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ind w:left="360" w:hanging="360" w:hangingChars="200"/>
        <w:jc w:val="righ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suppressAutoHyphens w:val="1"/>
        <w:wordWrap w:val="0"/>
        <w:ind w:left="440" w:hanging="440" w:hangingChars="200"/>
        <w:jc w:val="left"/>
        <w:textAlignment w:val="baseline"/>
        <w:rPr>
          <w:rFonts w:hint="default" w:asciiTheme="minorEastAsia" w:hAnsiTheme="minorEastAsia"/>
          <w:color w:val="000000"/>
          <w:kern w:val="0"/>
          <w:sz w:val="22"/>
        </w:rPr>
      </w:pPr>
    </w:p>
    <w:tbl>
      <w:tblPr>
        <w:tblStyle w:val="33"/>
        <w:tblW w:w="0" w:type="auto"/>
        <w:jc w:val="center"/>
        <w:tblInd w:w="0" w:type="dxa"/>
        <w:tblLayout w:type="fixed"/>
        <w:tblLook w:firstRow="1" w:lastRow="0" w:firstColumn="1" w:lastColumn="0" w:noHBand="0" w:noVBand="1" w:val="04A0"/>
      </w:tblPr>
      <w:tblGrid>
        <w:gridCol w:w="3360"/>
        <w:gridCol w:w="5140"/>
      </w:tblGrid>
      <w:tr>
        <w:trPr>
          <w:trHeight w:val="397" w:hRule="atLeast"/>
        </w:trPr>
        <w:tc>
          <w:tcPr>
            <w:tcW w:w="8500" w:type="dxa"/>
            <w:gridSpan w:val="2"/>
            <w:tcBorders>
              <w:top w:val="nil"/>
              <w:left w:val="nil"/>
              <w:bottom w:val="single" w:color="auto" w:sz="4" w:space="0"/>
              <w:right w:val="nil"/>
              <w:tl2br w:val="none" w:color="auto" w:sz="0" w:space="0"/>
              <w:tr2bl w:val="none" w:color="auto" w:sz="0" w:space="0"/>
            </w:tcBorders>
            <w:vAlign w:val="center"/>
          </w:tcPr>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申込み時点における最近１か月間の売上高等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　上　高　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円【Ａ】</w:t>
            </w:r>
          </w:p>
        </w:tc>
      </w:tr>
      <w:tr>
        <w:trPr>
          <w:trHeight w:val="397" w:hRule="atLeast"/>
        </w:trPr>
        <w:tc>
          <w:tcPr>
            <w:tcW w:w="8500"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令和元年１０月から１２月の売上高等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　上　高　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令和元年１０月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令和元年１１月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令和元年１２月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円【Ｂ】</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３か月の平均（【Ｂ】÷</w:t>
            </w:r>
            <w:r>
              <w:rPr>
                <w:rFonts w:hint="eastAsia" w:asciiTheme="minorEastAsia" w:hAnsiTheme="minorEastAsia"/>
                <w:color w:val="000000"/>
                <w:kern w:val="0"/>
                <w:sz w:val="22"/>
              </w:rPr>
              <w:t>3</w:t>
            </w:r>
            <w:r>
              <w:rPr>
                <w:rFonts w:hint="eastAsia" w:asciiTheme="minorEastAsia" w:hAnsiTheme="minorEastAsia"/>
                <w:color w:val="000000"/>
                <w:kern w:val="0"/>
                <w:sz w:val="22"/>
              </w:rPr>
              <w:t>）</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円【Ｃ】</w:t>
            </w:r>
          </w:p>
        </w:tc>
      </w:tr>
      <w:tr>
        <w:trPr>
          <w:trHeight w:val="397" w:hRule="atLeast"/>
        </w:trPr>
        <w:tc>
          <w:tcPr>
            <w:tcW w:w="8500"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【Ａ】</w:t>
            </w:r>
            <w:r>
              <w:rPr>
                <w:rFonts w:hint="eastAsia" w:asciiTheme="minorEastAsia" w:hAnsiTheme="minorEastAsia"/>
                <w:color w:val="000000"/>
                <w:kern w:val="0"/>
              </w:rPr>
              <w:t>の期間後２か月間の見込み売上高等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　上　高　等</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asciiTheme="minorEastAsia" w:hAnsiTheme="minorEastAsia"/>
                <w:color w:val="000000"/>
                <w:kern w:val="0"/>
                <w:sz w:val="22"/>
              </w:rPr>
              <w:t>年　　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rPr>
            </w:pPr>
            <w:r>
              <w:rPr>
                <w:rFonts w:hint="eastAsia" w:asciiTheme="minorEastAsia" w:hAnsiTheme="minorEastAsia"/>
                <w:color w:val="000000"/>
                <w:kern w:val="0"/>
                <w:sz w:val="22"/>
              </w:rPr>
              <w:t>年　　月　　</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397"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5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円【Ｄ】</w:t>
            </w:r>
          </w:p>
        </w:tc>
      </w:tr>
    </w:tbl>
    <w:p>
      <w:pPr>
        <w:pStyle w:val="0"/>
        <w:ind w:right="880"/>
        <w:rPr>
          <w:rFonts w:hint="default" w:asciiTheme="minorEastAsia" w:hAnsiTheme="minorEastAsia"/>
          <w:color w:val="000000"/>
          <w:kern w:val="0"/>
          <w:sz w:val="22"/>
        </w:rPr>
      </w:pPr>
    </w:p>
    <w:p>
      <w:pPr>
        <w:pStyle w:val="0"/>
        <w:ind w:firstLine="221" w:firstLineChars="100"/>
        <w:jc w:val="left"/>
        <w:rPr>
          <w:rFonts w:hint="default" w:asciiTheme="minorEastAsia" w:hAnsiTheme="minorEastAsia"/>
          <w:b w:val="1"/>
          <w:color w:val="000000"/>
          <w:kern w:val="0"/>
          <w:sz w:val="22"/>
        </w:rPr>
      </w:pPr>
      <w:r>
        <w:rPr>
          <w:rFonts w:hint="eastAsia" w:asciiTheme="minorEastAsia" w:hAnsiTheme="minorEastAsia"/>
          <w:b w:val="1"/>
          <w:sz w:val="22"/>
        </w:rPr>
        <w:t>①</w:t>
      </w:r>
      <w:r>
        <w:rPr>
          <w:rFonts w:hint="eastAsia" w:asciiTheme="minorEastAsia" w:hAnsiTheme="minorEastAsia"/>
          <w:b w:val="1"/>
          <w:sz w:val="22"/>
        </w:rPr>
        <w:t xml:space="preserve"> </w:t>
      </w:r>
      <w:r>
        <w:rPr>
          <w:rFonts w:hint="eastAsia" w:asciiTheme="minorEastAsia" w:hAnsiTheme="minorEastAsia"/>
          <w:b w:val="1"/>
          <w:sz w:val="22"/>
        </w:rPr>
        <w:t>最近１か月間の売上高等減少率</w:t>
      </w:r>
    </w:p>
    <w:tbl>
      <w:tblPr>
        <w:tblStyle w:val="33"/>
        <w:tblW w:w="0" w:type="auto"/>
        <w:jc w:val="center"/>
        <w:tblInd w:w="0" w:type="dxa"/>
        <w:tblLayout w:type="fixed"/>
        <w:tblLook w:firstRow="1" w:lastRow="0" w:firstColumn="1" w:lastColumn="0" w:noHBand="0" w:noVBand="1" w:val="04A0"/>
      </w:tblPr>
      <w:tblGrid>
        <w:gridCol w:w="5245"/>
        <w:gridCol w:w="3675"/>
      </w:tblGrid>
      <w:tr>
        <w:trPr>
          <w:trHeight w:val="397" w:hRule="atLeast"/>
        </w:trPr>
        <w:tc>
          <w:tcPr>
            <w:tcW w:w="5245" w:type="dxa"/>
            <w:vAlign w:val="center"/>
          </w:tcPr>
          <w:p>
            <w:pPr>
              <w:pStyle w:val="0"/>
              <w:ind w:firstLine="880" w:firstLineChars="4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【Ｃ】－【Ａ】</w:t>
            </w:r>
          </w:p>
          <w:p>
            <w:pPr>
              <w:pStyle w:val="0"/>
              <w:ind w:firstLine="1320" w:firstLineChars="600"/>
              <w:jc w:val="left"/>
              <w:rPr>
                <w:rFonts w:hint="default" w:asciiTheme="minorEastAsia" w:hAnsiTheme="minorEastAsia"/>
                <w:color w:val="000000"/>
                <w:kern w:val="0"/>
                <w:sz w:val="22"/>
              </w:rPr>
            </w:pPr>
            <w:r>
              <w:rPr>
                <w:rFonts w:hint="eastAsia" w:asciiTheme="minorEastAsia" w:hAnsiTheme="minorEastAsia"/>
                <w:color w:val="000000"/>
                <w:kern w:val="0"/>
                <w:sz w:val="22"/>
              </w:rPr>
              <w:t>【Ｃ】　　　　×</w:t>
            </w:r>
            <w:r>
              <w:rPr>
                <w:rFonts w:hint="eastAsia" w:asciiTheme="minorEastAsia" w:hAnsiTheme="minorEastAsia"/>
                <w:color w:val="000000"/>
                <w:kern w:val="0"/>
                <w:sz w:val="22"/>
              </w:rPr>
              <w:t>100</w:t>
            </w:r>
          </w:p>
        </w:tc>
        <w:tc>
          <w:tcPr>
            <w:tcW w:w="367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right="880" w:firstLine="221" w:firstLineChars="100"/>
        <w:rPr>
          <w:rFonts w:hint="default" w:asciiTheme="minorEastAsia" w:hAnsiTheme="minorEastAsia"/>
          <w:color w:val="000000"/>
          <w:kern w:val="0"/>
          <w:sz w:val="22"/>
        </w:rPr>
      </w:pPr>
      <w:r>
        <w:rPr>
          <w:rFonts w:hint="eastAsia" w:asciiTheme="minorEastAsia" w:hAnsiTheme="minorEastAsia"/>
          <w:b w:val="1"/>
          <w:sz w:val="22"/>
        </w:rPr>
        <w:t>②</w:t>
      </w:r>
      <w:r>
        <w:rPr>
          <w:rFonts w:hint="eastAsia" w:asciiTheme="minorEastAsia" w:hAnsiTheme="minorEastAsia"/>
          <w:b w:val="1"/>
          <w:sz w:val="22"/>
        </w:rPr>
        <w:t xml:space="preserve"> </w:t>
      </w:r>
      <w:r>
        <w:rPr>
          <w:rFonts w:hint="eastAsia" w:asciiTheme="minorEastAsia" w:hAnsiTheme="minorEastAsia"/>
          <w:b w:val="1"/>
          <w:color w:val="000000"/>
          <w:kern w:val="0"/>
          <w:sz w:val="22"/>
        </w:rPr>
        <w:t>最近３か月間の売上高等の実績見込み</w:t>
      </w:r>
      <w:r>
        <w:rPr>
          <w:rFonts w:hint="eastAsia" w:asciiTheme="minorEastAsia" w:hAnsiTheme="minorEastAsia"/>
          <w:b w:val="1"/>
          <w:sz w:val="22"/>
        </w:rPr>
        <w:t>減少率</w:t>
      </w:r>
    </w:p>
    <w:tbl>
      <w:tblPr>
        <w:tblStyle w:val="33"/>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【Ｂ】－（【Ａ】＋【Ｄ】）</w:t>
            </w:r>
          </w:p>
          <w:p>
            <w:pPr>
              <w:pStyle w:val="0"/>
              <w:ind w:firstLine="1540" w:firstLineChars="700"/>
              <w:jc w:val="left"/>
              <w:rPr>
                <w:rFonts w:hint="default" w:asciiTheme="minorEastAsia" w:hAnsiTheme="minorEastAsia"/>
                <w:color w:val="000000"/>
                <w:kern w:val="0"/>
                <w:sz w:val="22"/>
              </w:rPr>
            </w:pPr>
            <w:r>
              <w:rPr>
                <w:rFonts w:hint="eastAsia" w:asciiTheme="minorEastAsia" w:hAnsiTheme="minorEastAsia"/>
                <w:color w:val="000000"/>
                <w:kern w:val="0"/>
                <w:sz w:val="22"/>
              </w:rPr>
              <w:t>【Ｂ】　　　　　　　×</w:t>
            </w:r>
            <w:r>
              <w:rPr>
                <w:rFonts w:hint="eastAsia" w:asciiTheme="minorEastAsia" w:hAnsiTheme="minorEastAsia"/>
                <w:color w:val="000000"/>
                <w:kern w:val="0"/>
                <w:sz w:val="22"/>
              </w:rPr>
              <w:t>100</w:t>
            </w:r>
          </w:p>
        </w:tc>
        <w:tc>
          <w:tcPr>
            <w:tcW w:w="367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eastAsia"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eastAsia"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1134" w:right="851" w:bottom="1134"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2</Pages>
  <Words>7</Words>
  <Characters>1325</Characters>
  <Application>JUST Note</Application>
  <Lines>122</Lines>
  <Paragraphs>82</Paragraphs>
  <CharactersWithSpaces>2119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2020-03-23T01:21:00Z</cp:lastPrinted>
  <dcterms:created xsi:type="dcterms:W3CDTF">2020-03-13T00:50:00Z</dcterms:created>
  <dcterms:modified xsi:type="dcterms:W3CDTF">2020-11-30T00:00:46Z</dcterms:modified>
  <cp:revision>30</cp:revision>
</cp:coreProperties>
</file>