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96"/>
        <w:gridCol w:w="630"/>
        <w:gridCol w:w="3879"/>
      </w:tblGrid>
      <w:tr>
        <w:trPr>
          <w:trHeight w:val="165" w:hRule="atLeast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3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20955</wp:posOffset>
                      </wp:positionV>
                      <wp:extent cx="400050" cy="3016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3016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_x0000_s1026" style="margin-top:1.65pt;mso-position-vertical-relative:text;mso-position-horizontal-relative:text;position:absolute;height:23.75pt;width:31.5pt;margin-left:197.4pt;z-index:3;" o:allowincell="f" filled="f" stroked="t" strokecolor="#000000" strokeweight="0.5pt" o:spt="186" type="#_x0000_t186" adj="1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一般廃棄物処理業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3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許可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93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更新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3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申請書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3667"/>
      </w:tblGrid>
      <w:tr>
        <w:trPr/>
        <w:tc>
          <w:tcPr>
            <w:tcW w:w="48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-17145</wp:posOffset>
                      </wp:positionV>
                      <wp:extent cx="2040255" cy="36703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0255" cy="367030"/>
                              </a:xfrm>
                              <a:prstGeom prst="bracketPair">
                                <a:avLst>
                                  <a:gd name="adj" fmla="val 1389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-1.35pt;mso-position-vertical-relative:text;mso-position-horizontal-relative:text;position:absolute;height:28.9pt;width:160.65pt;margin-left:242.1pt;z-index:2;" o:allowincell="f" filled="f" stroked="t" strokecolor="#000000" strokeweight="0.5pt" o:spt="185" type="#_x0000_t185" adj="30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法人にあっては、主たる事務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pacing w:val="5"/>
                <w:sz w:val="21"/>
              </w:rPr>
              <w:t>の所在地、名称、代表者の氏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749"/>
        <w:gridCol w:w="5551"/>
      </w:tblGrid>
      <w:tr>
        <w:trPr/>
        <w:tc>
          <w:tcPr>
            <w:tcW w:w="22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4" behindDoc="0" locked="0" layoutInCell="0" hidden="0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20320</wp:posOffset>
                      </wp:positionV>
                      <wp:extent cx="400050" cy="3016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3016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_x0000_s1028" style="margin-top:1.6pt;mso-position-vertical-relative:text;mso-position-horizontal-relative:text;position:absolute;height:23.75pt;width:31.5pt;margin-left:112.6pt;z-index:4;" o:allowincell="f" filled="f" stroked="t" strokecolor="#000000" strokeweight="0.5pt" o:spt="186" type="#_x0000_t186" adj="1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一般廃棄物処理業の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許可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更新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を受けたいので、伊佐市廃棄物の適正処理、減量化、資源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化等に関する条例施行規則第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条の規定により、関係書類を添付の上、次のとおり申請します。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事務所及び事業所の所在地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郵便番号　　　―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廃棄物の種類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業務の種類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収集運搬　・　処分</w:t>
            </w:r>
          </w:p>
        </w:tc>
      </w:tr>
      <w:tr>
        <w:trPr>
          <w:trHeight w:val="4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事業開始予定年月日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782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after="10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伊佐市廃棄物の適正処理、減量化、資源化等に関する条例施行規則第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13</w:t>
            </w:r>
            <w:r>
              <w:rPr>
                <w:rFonts w:hint="eastAsia" w:ascii="ＭＳ 明朝" w:hAnsi="ＭＳ 明朝" w:eastAsia="ＭＳ 明朝"/>
                <w:sz w:val="21"/>
              </w:rPr>
              <w:t>条に定めるもの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247</Characters>
  <Application>JUST Note</Application>
  <Lines>37</Lines>
  <Paragraphs>27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dcterms:created xsi:type="dcterms:W3CDTF">2023-02-10T17:01:00Z</dcterms:created>
  <dcterms:modified xsi:type="dcterms:W3CDTF">2023-02-13T01:10:04Z</dcterms:modified>
  <cp:revision>3</cp:revision>
</cp:coreProperties>
</file>